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25051964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0412365400285002182520155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